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0034" w14:textId="77777777" w:rsidR="00C06723" w:rsidRPr="00494A01" w:rsidRDefault="00CA29EF" w:rsidP="00A72663">
      <w:pPr>
        <w:spacing w:before="61"/>
        <w:ind w:left="2340" w:right="2128"/>
        <w:jc w:val="center"/>
        <w:rPr>
          <w:b/>
          <w:sz w:val="32"/>
        </w:rPr>
      </w:pPr>
      <w:r w:rsidRPr="00494A01">
        <w:rPr>
          <w:b/>
          <w:sz w:val="32"/>
        </w:rPr>
        <w:t xml:space="preserve">Tompkins County Workers' Center </w:t>
      </w:r>
    </w:p>
    <w:p w14:paraId="1F40C51B" w14:textId="6BB11582" w:rsidR="007D69AC" w:rsidRPr="00494A01" w:rsidRDefault="00CA29EF" w:rsidP="00A72663">
      <w:pPr>
        <w:spacing w:before="61"/>
        <w:ind w:left="2340" w:right="2128"/>
        <w:jc w:val="center"/>
        <w:rPr>
          <w:b/>
          <w:sz w:val="32"/>
        </w:rPr>
      </w:pPr>
      <w:r w:rsidRPr="00494A01">
        <w:rPr>
          <w:b/>
          <w:sz w:val="32"/>
        </w:rPr>
        <w:t>Living</w:t>
      </w:r>
      <w:r w:rsidR="00A72663" w:rsidRPr="00494A01">
        <w:rPr>
          <w:b/>
          <w:sz w:val="32"/>
        </w:rPr>
        <w:t xml:space="preserve"> </w:t>
      </w:r>
      <w:r w:rsidRPr="00494A01">
        <w:rPr>
          <w:b/>
          <w:sz w:val="32"/>
        </w:rPr>
        <w:t xml:space="preserve">Wage Certification Criteria: </w:t>
      </w:r>
      <w:r w:rsidR="00C06723" w:rsidRPr="00494A01">
        <w:rPr>
          <w:b/>
          <w:sz w:val="32"/>
        </w:rPr>
        <w:t>202</w:t>
      </w:r>
      <w:r w:rsidR="00D6532B">
        <w:rPr>
          <w:b/>
          <w:sz w:val="32"/>
        </w:rPr>
        <w:t>5</w:t>
      </w:r>
    </w:p>
    <w:p w14:paraId="04D16AFC" w14:textId="77777777" w:rsidR="00AE200B" w:rsidRDefault="00AE200B" w:rsidP="00494A01">
      <w:pPr>
        <w:pStyle w:val="Heading1"/>
        <w:spacing w:line="275" w:lineRule="exact"/>
        <w:ind w:left="0"/>
      </w:pPr>
    </w:p>
    <w:p w14:paraId="12D65216" w14:textId="5C4CAE8E" w:rsidR="007D69AC" w:rsidRPr="00A72663" w:rsidRDefault="00CA29EF" w:rsidP="00455BC1">
      <w:pPr>
        <w:pStyle w:val="Heading1"/>
        <w:spacing w:after="240" w:line="275" w:lineRule="exact"/>
        <w:rPr>
          <w:sz w:val="28"/>
          <w:szCs w:val="28"/>
        </w:rPr>
      </w:pPr>
      <w:r w:rsidRPr="00A72663">
        <w:rPr>
          <w:sz w:val="28"/>
          <w:szCs w:val="28"/>
        </w:rPr>
        <w:t>What is a Living Wage?</w:t>
      </w:r>
    </w:p>
    <w:p w14:paraId="4317CF16" w14:textId="77777777" w:rsidR="007D69AC" w:rsidRPr="00A72663" w:rsidRDefault="007D69AC">
      <w:pPr>
        <w:spacing w:line="275" w:lineRule="exact"/>
        <w:rPr>
          <w:sz w:val="28"/>
          <w:szCs w:val="28"/>
        </w:rPr>
        <w:sectPr w:rsidR="007D69AC" w:rsidRPr="00A72663" w:rsidSect="000260B9">
          <w:type w:val="continuous"/>
          <w:pgSz w:w="12240" w:h="15840"/>
          <w:pgMar w:top="540" w:right="680" w:bottom="280" w:left="620" w:header="720" w:footer="720" w:gutter="0"/>
          <w:cols w:space="720"/>
        </w:sectPr>
      </w:pPr>
    </w:p>
    <w:p w14:paraId="03706892" w14:textId="39300DC0" w:rsidR="007D69AC" w:rsidRPr="00A72663" w:rsidRDefault="00CA29EF" w:rsidP="00455BC1">
      <w:pPr>
        <w:pStyle w:val="BodyText"/>
        <w:spacing w:after="240"/>
        <w:ind w:left="102" w:right="66" w:firstLine="288"/>
        <w:jc w:val="both"/>
        <w:rPr>
          <w:sz w:val="28"/>
          <w:szCs w:val="28"/>
        </w:rPr>
      </w:pPr>
      <w:r w:rsidRPr="00A72663">
        <w:rPr>
          <w:sz w:val="28"/>
          <w:szCs w:val="28"/>
        </w:rPr>
        <w:t xml:space="preserve">We believe that few principles are more basic to our nation than the importance of rewarding work. A job should take you out of poverty, not keep you in it. A </w:t>
      </w:r>
      <w:r w:rsidR="00494A01">
        <w:rPr>
          <w:sz w:val="28"/>
          <w:szCs w:val="28"/>
        </w:rPr>
        <w:t>living wage</w:t>
      </w:r>
      <w:r w:rsidRPr="00A72663">
        <w:rPr>
          <w:sz w:val="28"/>
          <w:szCs w:val="28"/>
        </w:rPr>
        <w:t xml:space="preserve"> is the amount that an individual must earn </w:t>
      </w:r>
      <w:proofErr w:type="gramStart"/>
      <w:r w:rsidRPr="00A72663">
        <w:rPr>
          <w:sz w:val="28"/>
          <w:szCs w:val="28"/>
        </w:rPr>
        <w:t>in order to</w:t>
      </w:r>
      <w:proofErr w:type="gramEnd"/>
      <w:r w:rsidR="00494A01">
        <w:rPr>
          <w:sz w:val="28"/>
          <w:szCs w:val="28"/>
        </w:rPr>
        <w:t xml:space="preserve"> </w:t>
      </w:r>
      <w:r w:rsidR="00494A01" w:rsidRPr="00494A01">
        <w:rPr>
          <w:sz w:val="28"/>
          <w:szCs w:val="28"/>
        </w:rPr>
        <w:t>maintain a basic standard of living</w:t>
      </w:r>
      <w:r w:rsidR="00494A01">
        <w:rPr>
          <w:sz w:val="28"/>
          <w:szCs w:val="28"/>
        </w:rPr>
        <w:t xml:space="preserve"> </w:t>
      </w:r>
      <w:r w:rsidRPr="00A72663">
        <w:rPr>
          <w:sz w:val="28"/>
          <w:szCs w:val="28"/>
        </w:rPr>
        <w:t xml:space="preserve">without need for public assistance. The </w:t>
      </w:r>
      <w:r w:rsidR="00C06723" w:rsidRPr="00494A01">
        <w:rPr>
          <w:sz w:val="28"/>
          <w:szCs w:val="28"/>
        </w:rPr>
        <w:t>202</w:t>
      </w:r>
      <w:r w:rsidR="00D6532B">
        <w:rPr>
          <w:sz w:val="28"/>
          <w:szCs w:val="28"/>
        </w:rPr>
        <w:t>5</w:t>
      </w:r>
      <w:r w:rsidR="00C06723">
        <w:rPr>
          <w:sz w:val="28"/>
          <w:szCs w:val="28"/>
        </w:rPr>
        <w:t xml:space="preserve"> </w:t>
      </w:r>
      <w:r w:rsidRPr="00A72663">
        <w:rPr>
          <w:sz w:val="28"/>
          <w:szCs w:val="28"/>
        </w:rPr>
        <w:t xml:space="preserve">Tompkins County Living Wage </w:t>
      </w:r>
      <w:r w:rsidRPr="00494A01">
        <w:rPr>
          <w:sz w:val="28"/>
          <w:szCs w:val="28"/>
        </w:rPr>
        <w:t>is based on figures calculated</w:t>
      </w:r>
      <w:r w:rsidR="00494A01" w:rsidRPr="00494A01">
        <w:rPr>
          <w:sz w:val="28"/>
          <w:szCs w:val="28"/>
        </w:rPr>
        <w:t xml:space="preserve"> by the Cornell Industrial and Labor Relations School’s</w:t>
      </w:r>
      <w:r w:rsidR="00494A01">
        <w:rPr>
          <w:sz w:val="28"/>
          <w:szCs w:val="28"/>
        </w:rPr>
        <w:t xml:space="preserve"> Ithaca and Buffalo</w:t>
      </w:r>
      <w:r w:rsidR="00494A01" w:rsidRPr="00494A01">
        <w:rPr>
          <w:sz w:val="28"/>
          <w:szCs w:val="28"/>
        </w:rPr>
        <w:t xml:space="preserve"> Co-Lab</w:t>
      </w:r>
      <w:r w:rsidR="00494A01">
        <w:rPr>
          <w:sz w:val="28"/>
          <w:szCs w:val="28"/>
        </w:rPr>
        <w:t>s</w:t>
      </w:r>
      <w:r w:rsidR="00494A01" w:rsidRPr="00494A01">
        <w:rPr>
          <w:sz w:val="28"/>
          <w:szCs w:val="28"/>
        </w:rPr>
        <w:t>.</w:t>
      </w:r>
    </w:p>
    <w:p w14:paraId="2CA3EC0B" w14:textId="44A519AA" w:rsidR="00494A01" w:rsidRDefault="00CA29EF" w:rsidP="00494A01">
      <w:pPr>
        <w:pStyle w:val="BodyText"/>
        <w:spacing w:before="120"/>
        <w:ind w:left="102" w:right="38" w:firstLine="288"/>
        <w:jc w:val="both"/>
        <w:rPr>
          <w:sz w:val="28"/>
          <w:szCs w:val="28"/>
        </w:rPr>
      </w:pPr>
      <w:r w:rsidRPr="00A72663">
        <w:rPr>
          <w:sz w:val="28"/>
          <w:szCs w:val="28"/>
        </w:rPr>
        <w:t>The living wage for a single person without dependents in Tompkins County, NY is currently $</w:t>
      </w:r>
      <w:r w:rsidR="00D6532B">
        <w:rPr>
          <w:sz w:val="28"/>
          <w:szCs w:val="28"/>
        </w:rPr>
        <w:t>51,628.32</w:t>
      </w:r>
      <w:r w:rsidRPr="00A72663">
        <w:rPr>
          <w:sz w:val="28"/>
          <w:szCs w:val="28"/>
        </w:rPr>
        <w:t xml:space="preserve"> a year or $</w:t>
      </w:r>
      <w:r w:rsidR="00D6532B">
        <w:rPr>
          <w:sz w:val="28"/>
          <w:szCs w:val="28"/>
        </w:rPr>
        <w:t>24.82</w:t>
      </w:r>
      <w:r w:rsidRPr="00A72663">
        <w:rPr>
          <w:sz w:val="28"/>
          <w:szCs w:val="28"/>
        </w:rPr>
        <w:t xml:space="preserve"> per hour for an individual working a 40-hour week for the full year. This figure is derived using the cost for housing (fair market rent for a single bedroom apartment including utilities), transportation (weighted average), food (based on USDA “low cost” food plan), communications (local plan + 30 minutes long distance/month, plus DSL), health care (median cost of a Silver Plan available to the public </w:t>
      </w:r>
      <w:r w:rsidRPr="00A72663">
        <w:rPr>
          <w:i/>
          <w:sz w:val="28"/>
          <w:szCs w:val="28"/>
        </w:rPr>
        <w:t xml:space="preserve">after </w:t>
      </w:r>
      <w:r w:rsidRPr="00A72663">
        <w:rPr>
          <w:sz w:val="28"/>
          <w:szCs w:val="28"/>
        </w:rPr>
        <w:t>subsidies received + additional out-of-pocket medical expenses) recreation, savings, miscellaneous plus taxes. The living wage for a family is significantly higher</w:t>
      </w:r>
      <w:r w:rsidR="00494A01">
        <w:rPr>
          <w:sz w:val="28"/>
          <w:szCs w:val="28"/>
        </w:rPr>
        <w:t xml:space="preserve">. </w:t>
      </w:r>
    </w:p>
    <w:p w14:paraId="17DC4E3E" w14:textId="4B68DAA1" w:rsidR="00D6532B" w:rsidRPr="00D6532B" w:rsidRDefault="00CA29EF" w:rsidP="00D6532B">
      <w:pPr>
        <w:pStyle w:val="BodyText"/>
        <w:spacing w:before="120"/>
        <w:ind w:left="102" w:right="38"/>
        <w:jc w:val="both"/>
      </w:pPr>
      <w:r w:rsidRPr="00A72663">
        <w:rPr>
          <w:sz w:val="28"/>
          <w:szCs w:val="28"/>
        </w:rPr>
        <w:t>For details on the Tompkins County Living</w:t>
      </w:r>
      <w:r w:rsidR="00494A01">
        <w:rPr>
          <w:sz w:val="28"/>
          <w:szCs w:val="28"/>
        </w:rPr>
        <w:t xml:space="preserve"> </w:t>
      </w:r>
      <w:r w:rsidRPr="00A72663">
        <w:rPr>
          <w:sz w:val="28"/>
          <w:szCs w:val="28"/>
        </w:rPr>
        <w:t>Wage, go to</w:t>
      </w:r>
      <w:r w:rsidR="00494A01">
        <w:t>:</w:t>
      </w:r>
    </w:p>
    <w:p w14:paraId="4816E3A4" w14:textId="1393FDC6" w:rsidR="00D6532B" w:rsidRPr="00494A01" w:rsidRDefault="00D6532B" w:rsidP="00494A01">
      <w:pPr>
        <w:pStyle w:val="BodyText"/>
        <w:spacing w:before="120"/>
        <w:ind w:left="102" w:right="38"/>
        <w:jc w:val="both"/>
      </w:pPr>
      <w:hyperlink r:id="rId5" w:history="1">
        <w:r w:rsidRPr="00D6532B">
          <w:rPr>
            <w:rStyle w:val="Hyperlink"/>
          </w:rPr>
          <w:t>https://www.tcworkerscenter.org/wp-content/uploads/2025/02/Tompkins-County-Living-Wage-2025-Study.pdf</w:t>
        </w:r>
      </w:hyperlink>
    </w:p>
    <w:p w14:paraId="0A6859E5" w14:textId="4AE244CD" w:rsidR="007D69AC" w:rsidRPr="00A72663" w:rsidRDefault="00CA29EF" w:rsidP="00494A01">
      <w:pPr>
        <w:pStyle w:val="BodyText"/>
        <w:spacing w:before="120"/>
        <w:ind w:left="144" w:right="38"/>
        <w:rPr>
          <w:sz w:val="28"/>
          <w:szCs w:val="28"/>
        </w:rPr>
      </w:pPr>
      <w:r w:rsidRPr="00A72663">
        <w:rPr>
          <w:sz w:val="28"/>
          <w:szCs w:val="28"/>
        </w:rPr>
        <w:t xml:space="preserve">For more details about the </w:t>
      </w:r>
      <w:r w:rsidR="00BF699F" w:rsidRPr="00A72663">
        <w:rPr>
          <w:sz w:val="28"/>
          <w:szCs w:val="28"/>
        </w:rPr>
        <w:t>Living Wage</w:t>
      </w:r>
      <w:r w:rsidRPr="00A72663">
        <w:rPr>
          <w:sz w:val="28"/>
          <w:szCs w:val="28"/>
        </w:rPr>
        <w:t xml:space="preserve"> Certification</w:t>
      </w:r>
      <w:r w:rsidR="001371AC">
        <w:rPr>
          <w:sz w:val="28"/>
          <w:szCs w:val="28"/>
        </w:rPr>
        <w:t xml:space="preserve"> </w:t>
      </w:r>
      <w:r w:rsidRPr="00A72663">
        <w:rPr>
          <w:sz w:val="28"/>
          <w:szCs w:val="28"/>
        </w:rPr>
        <w:t>program go to</w:t>
      </w:r>
      <w:r w:rsidR="00494A01">
        <w:rPr>
          <w:sz w:val="28"/>
          <w:szCs w:val="28"/>
        </w:rPr>
        <w:t xml:space="preserve">: </w:t>
      </w:r>
      <w:hyperlink r:id="rId6" w:history="1">
        <w:r w:rsidR="00494A01" w:rsidRPr="006D0B9B">
          <w:rPr>
            <w:rStyle w:val="Hyperlink"/>
            <w:sz w:val="28"/>
            <w:szCs w:val="28"/>
          </w:rPr>
          <w:t>www.tcworkerscenter.org/campaigns/living-wage-certification/</w:t>
        </w:r>
      </w:hyperlink>
    </w:p>
    <w:p w14:paraId="14EE2A58" w14:textId="6AD827C7" w:rsidR="007D69AC" w:rsidRPr="00494A01" w:rsidRDefault="00CA29EF" w:rsidP="00494A01">
      <w:pPr>
        <w:spacing w:before="132"/>
        <w:rPr>
          <w:rFonts w:ascii="Arial"/>
          <w:b/>
          <w:sz w:val="20"/>
        </w:rPr>
      </w:pPr>
      <w:r>
        <w:br w:type="column"/>
      </w:r>
      <w:bookmarkStart w:id="0" w:name="_Hlk153287391"/>
      <w:r w:rsidR="00494A01">
        <w:rPr>
          <w:rFonts w:ascii="Arial"/>
          <w:b/>
          <w:sz w:val="20"/>
          <w:szCs w:val="20"/>
        </w:rPr>
        <w:t xml:space="preserve">       2024 Living Wage Calculation</w:t>
      </w:r>
    </w:p>
    <w:tbl>
      <w:tblPr>
        <w:tblW w:w="0" w:type="auto"/>
        <w:tblInd w:w="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1202"/>
      </w:tblGrid>
      <w:tr w:rsidR="007D69AC" w14:paraId="67ED0BBA" w14:textId="77777777" w:rsidTr="00494A01">
        <w:trPr>
          <w:trHeight w:val="442"/>
        </w:trPr>
        <w:tc>
          <w:tcPr>
            <w:tcW w:w="2204" w:type="dxa"/>
          </w:tcPr>
          <w:p w14:paraId="0FDB3316" w14:textId="77777777" w:rsidR="007D69AC" w:rsidRDefault="00CA29EF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</w:p>
        </w:tc>
        <w:tc>
          <w:tcPr>
            <w:tcW w:w="1202" w:type="dxa"/>
          </w:tcPr>
          <w:p w14:paraId="23A7657C" w14:textId="4C3F49F7" w:rsidR="007D69AC" w:rsidRDefault="00D6532B" w:rsidP="00494A01">
            <w:pPr>
              <w:pStyle w:val="TableParagraph"/>
              <w:spacing w:before="16" w:line="232" w:lineRule="auto"/>
              <w:ind w:left="56" w:firstLine="17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Monthly</w:t>
            </w:r>
          </w:p>
        </w:tc>
      </w:tr>
      <w:tr w:rsidR="007D69AC" w14:paraId="13A0EC7E" w14:textId="77777777">
        <w:trPr>
          <w:trHeight w:val="262"/>
        </w:trPr>
        <w:tc>
          <w:tcPr>
            <w:tcW w:w="2204" w:type="dxa"/>
          </w:tcPr>
          <w:p w14:paraId="0BE7DBEE" w14:textId="77777777" w:rsidR="007D69AC" w:rsidRDefault="00CA29EF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Housing</w:t>
            </w:r>
          </w:p>
        </w:tc>
        <w:tc>
          <w:tcPr>
            <w:tcW w:w="1202" w:type="dxa"/>
          </w:tcPr>
          <w:p w14:paraId="58ECE884" w14:textId="2103E374" w:rsidR="007D69AC" w:rsidRDefault="00A526E6" w:rsidP="00A526E6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A29EF">
              <w:rPr>
                <w:sz w:val="20"/>
              </w:rPr>
              <w:t>$1</w:t>
            </w:r>
            <w:r w:rsidR="00D6532B">
              <w:rPr>
                <w:sz w:val="20"/>
              </w:rPr>
              <w:t>,489.00</w:t>
            </w:r>
          </w:p>
        </w:tc>
      </w:tr>
      <w:tr w:rsidR="007D69AC" w14:paraId="1C04ABDE" w14:textId="77777777">
        <w:trPr>
          <w:trHeight w:val="280"/>
        </w:trPr>
        <w:tc>
          <w:tcPr>
            <w:tcW w:w="2204" w:type="dxa"/>
          </w:tcPr>
          <w:p w14:paraId="1F9D5DC4" w14:textId="77777777" w:rsidR="007D69AC" w:rsidRDefault="00CA29EF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Food</w:t>
            </w:r>
          </w:p>
        </w:tc>
        <w:tc>
          <w:tcPr>
            <w:tcW w:w="1202" w:type="dxa"/>
          </w:tcPr>
          <w:p w14:paraId="7322E052" w14:textId="74F6D32D" w:rsidR="007D69AC" w:rsidRDefault="00A526E6" w:rsidP="00A526E6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A29EF">
              <w:rPr>
                <w:sz w:val="20"/>
              </w:rPr>
              <w:t>$</w:t>
            </w:r>
            <w:r>
              <w:rPr>
                <w:sz w:val="20"/>
              </w:rPr>
              <w:t xml:space="preserve">  </w:t>
            </w:r>
            <w:r w:rsidR="00D6532B">
              <w:rPr>
                <w:sz w:val="20"/>
              </w:rPr>
              <w:t xml:space="preserve"> 341.07</w:t>
            </w:r>
          </w:p>
        </w:tc>
      </w:tr>
      <w:tr w:rsidR="007D69AC" w14:paraId="5DE0D2C7" w14:textId="77777777">
        <w:trPr>
          <w:trHeight w:val="505"/>
        </w:trPr>
        <w:tc>
          <w:tcPr>
            <w:tcW w:w="2204" w:type="dxa"/>
          </w:tcPr>
          <w:p w14:paraId="7A4223B5" w14:textId="77777777" w:rsidR="007D69AC" w:rsidRDefault="00CA29EF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Transportation</w:t>
            </w:r>
          </w:p>
        </w:tc>
        <w:tc>
          <w:tcPr>
            <w:tcW w:w="1202" w:type="dxa"/>
          </w:tcPr>
          <w:p w14:paraId="5660E292" w14:textId="3F5D25C2" w:rsidR="007D69AC" w:rsidRDefault="00A526E6" w:rsidP="00A526E6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A29EF">
              <w:rPr>
                <w:sz w:val="20"/>
              </w:rPr>
              <w:t>$</w:t>
            </w:r>
            <w:r>
              <w:rPr>
                <w:sz w:val="20"/>
              </w:rPr>
              <w:t xml:space="preserve">  </w:t>
            </w:r>
            <w:r w:rsidR="00D6532B">
              <w:rPr>
                <w:sz w:val="20"/>
              </w:rPr>
              <w:t xml:space="preserve"> 519.98</w:t>
            </w:r>
          </w:p>
        </w:tc>
      </w:tr>
      <w:tr w:rsidR="007D69AC" w14:paraId="76FB6650" w14:textId="77777777">
        <w:trPr>
          <w:trHeight w:val="265"/>
        </w:trPr>
        <w:tc>
          <w:tcPr>
            <w:tcW w:w="2204" w:type="dxa"/>
          </w:tcPr>
          <w:p w14:paraId="15031109" w14:textId="77777777" w:rsidR="007D69AC" w:rsidRDefault="00CA29EF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Communication</w:t>
            </w:r>
          </w:p>
        </w:tc>
        <w:tc>
          <w:tcPr>
            <w:tcW w:w="1202" w:type="dxa"/>
          </w:tcPr>
          <w:p w14:paraId="31B13999" w14:textId="018539E4" w:rsidR="007D69AC" w:rsidRDefault="00B9594E" w:rsidP="00B9594E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526E6">
              <w:rPr>
                <w:sz w:val="20"/>
              </w:rPr>
              <w:t xml:space="preserve">$  </w:t>
            </w:r>
            <w:r w:rsidR="00D6532B">
              <w:rPr>
                <w:sz w:val="20"/>
              </w:rPr>
              <w:t xml:space="preserve"> 134.23</w:t>
            </w:r>
          </w:p>
        </w:tc>
      </w:tr>
      <w:tr w:rsidR="007D69AC" w14:paraId="72617DC3" w14:textId="77777777">
        <w:trPr>
          <w:trHeight w:val="279"/>
        </w:trPr>
        <w:tc>
          <w:tcPr>
            <w:tcW w:w="2204" w:type="dxa"/>
          </w:tcPr>
          <w:p w14:paraId="2591130F" w14:textId="15949424" w:rsidR="007D69AC" w:rsidRPr="00224D31" w:rsidRDefault="00CA29EF">
            <w:pPr>
              <w:pStyle w:val="TableParagraph"/>
              <w:spacing w:before="16"/>
              <w:rPr>
                <w:sz w:val="20"/>
              </w:rPr>
            </w:pPr>
            <w:r w:rsidRPr="00224D31">
              <w:rPr>
                <w:sz w:val="20"/>
              </w:rPr>
              <w:t xml:space="preserve">Health care </w:t>
            </w:r>
            <w:r w:rsidR="00554ADF" w:rsidRPr="00224D31">
              <w:rPr>
                <w:sz w:val="20"/>
              </w:rPr>
              <w:t>–</w:t>
            </w:r>
            <w:r w:rsidRPr="00224D31">
              <w:rPr>
                <w:sz w:val="20"/>
              </w:rPr>
              <w:t xml:space="preserve"> insurance</w:t>
            </w:r>
            <w:r w:rsidR="00554ADF" w:rsidRPr="00224D31">
              <w:rPr>
                <w:sz w:val="20"/>
              </w:rPr>
              <w:t xml:space="preserve"> and out of pocket</w:t>
            </w:r>
            <w:r w:rsidR="00C06723" w:rsidRPr="00224D31">
              <w:rPr>
                <w:sz w:val="20"/>
              </w:rPr>
              <w:t xml:space="preserve"> </w:t>
            </w:r>
          </w:p>
        </w:tc>
        <w:tc>
          <w:tcPr>
            <w:tcW w:w="1202" w:type="dxa"/>
          </w:tcPr>
          <w:p w14:paraId="4994F400" w14:textId="467B8E8C" w:rsidR="007D69AC" w:rsidRPr="00224D31" w:rsidRDefault="00A526E6" w:rsidP="00A526E6">
            <w:pPr>
              <w:pStyle w:val="TableParagraph"/>
              <w:spacing w:before="30" w:line="228" w:lineRule="exact"/>
              <w:rPr>
                <w:sz w:val="20"/>
              </w:rPr>
            </w:pPr>
            <w:r w:rsidRPr="00224D31">
              <w:rPr>
                <w:sz w:val="20"/>
              </w:rPr>
              <w:t xml:space="preserve"> </w:t>
            </w:r>
            <w:r w:rsidR="00CA29EF" w:rsidRPr="00224D31">
              <w:rPr>
                <w:sz w:val="20"/>
              </w:rPr>
              <w:t>$</w:t>
            </w:r>
            <w:r w:rsidRPr="00224D31">
              <w:rPr>
                <w:sz w:val="20"/>
              </w:rPr>
              <w:t xml:space="preserve">  </w:t>
            </w:r>
            <w:r w:rsidR="00D6532B">
              <w:rPr>
                <w:sz w:val="20"/>
              </w:rPr>
              <w:t xml:space="preserve"> 348.09</w:t>
            </w:r>
          </w:p>
        </w:tc>
      </w:tr>
      <w:tr w:rsidR="007D69AC" w14:paraId="29A12EC5" w14:textId="77777777">
        <w:trPr>
          <w:trHeight w:val="265"/>
        </w:trPr>
        <w:tc>
          <w:tcPr>
            <w:tcW w:w="2204" w:type="dxa"/>
          </w:tcPr>
          <w:p w14:paraId="340F6658" w14:textId="77777777" w:rsidR="007D69AC" w:rsidRDefault="00CA29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Recreation</w:t>
            </w:r>
          </w:p>
        </w:tc>
        <w:tc>
          <w:tcPr>
            <w:tcW w:w="1202" w:type="dxa"/>
          </w:tcPr>
          <w:p w14:paraId="4DD6199B" w14:textId="0F00D9AC" w:rsidR="007D69AC" w:rsidRDefault="00A526E6" w:rsidP="00A526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A29EF">
              <w:rPr>
                <w:sz w:val="20"/>
              </w:rPr>
              <w:t>$</w:t>
            </w:r>
            <w:r>
              <w:rPr>
                <w:sz w:val="20"/>
              </w:rPr>
              <w:t xml:space="preserve">  </w:t>
            </w:r>
            <w:r w:rsidR="00D6532B">
              <w:rPr>
                <w:sz w:val="20"/>
              </w:rPr>
              <w:t xml:space="preserve"> 187.90</w:t>
            </w:r>
          </w:p>
        </w:tc>
      </w:tr>
      <w:tr w:rsidR="007D69AC" w14:paraId="3826388D" w14:textId="77777777">
        <w:trPr>
          <w:trHeight w:val="280"/>
        </w:trPr>
        <w:tc>
          <w:tcPr>
            <w:tcW w:w="2204" w:type="dxa"/>
          </w:tcPr>
          <w:p w14:paraId="278BFEC7" w14:textId="77777777" w:rsidR="007D69AC" w:rsidRDefault="00CA29E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Savings</w:t>
            </w:r>
          </w:p>
        </w:tc>
        <w:tc>
          <w:tcPr>
            <w:tcW w:w="1202" w:type="dxa"/>
          </w:tcPr>
          <w:p w14:paraId="40B9EF83" w14:textId="7411C43A" w:rsidR="007D69AC" w:rsidRDefault="00A526E6" w:rsidP="00A526E6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 $     </w:t>
            </w:r>
            <w:r w:rsidR="00D6532B">
              <w:rPr>
                <w:sz w:val="20"/>
              </w:rPr>
              <w:t>98.82</w:t>
            </w:r>
          </w:p>
        </w:tc>
      </w:tr>
      <w:tr w:rsidR="007D69AC" w14:paraId="65D1388A" w14:textId="77777777">
        <w:trPr>
          <w:trHeight w:val="489"/>
        </w:trPr>
        <w:tc>
          <w:tcPr>
            <w:tcW w:w="2204" w:type="dxa"/>
          </w:tcPr>
          <w:p w14:paraId="2D544966" w14:textId="77777777" w:rsidR="007D69AC" w:rsidRDefault="00CA29EF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Miscellaneous</w:t>
            </w:r>
          </w:p>
        </w:tc>
        <w:tc>
          <w:tcPr>
            <w:tcW w:w="1202" w:type="dxa"/>
          </w:tcPr>
          <w:p w14:paraId="15908F2C" w14:textId="3AF58206" w:rsidR="007D69AC" w:rsidRDefault="00A526E6" w:rsidP="00A526E6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A29EF">
              <w:rPr>
                <w:sz w:val="20"/>
              </w:rPr>
              <w:t>$</w:t>
            </w:r>
            <w:r>
              <w:rPr>
                <w:sz w:val="20"/>
              </w:rPr>
              <w:t xml:space="preserve">  </w:t>
            </w:r>
            <w:r w:rsidR="00D6532B">
              <w:rPr>
                <w:sz w:val="20"/>
              </w:rPr>
              <w:t xml:space="preserve"> 273.84</w:t>
            </w:r>
          </w:p>
        </w:tc>
      </w:tr>
      <w:tr w:rsidR="007D69AC" w14:paraId="1FE8B5A5" w14:textId="77777777">
        <w:trPr>
          <w:trHeight w:val="281"/>
        </w:trPr>
        <w:tc>
          <w:tcPr>
            <w:tcW w:w="2204" w:type="dxa"/>
          </w:tcPr>
          <w:p w14:paraId="7E6750E1" w14:textId="77777777" w:rsidR="007D69AC" w:rsidRDefault="00CA29EF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Taxes</w:t>
            </w:r>
          </w:p>
        </w:tc>
        <w:tc>
          <w:tcPr>
            <w:tcW w:w="1202" w:type="dxa"/>
          </w:tcPr>
          <w:p w14:paraId="5C96CAA3" w14:textId="0F71DFD6" w:rsidR="007D69AC" w:rsidRDefault="00E51735" w:rsidP="00E51735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371AC">
              <w:rPr>
                <w:sz w:val="20"/>
              </w:rPr>
              <w:t xml:space="preserve">$   </w:t>
            </w:r>
            <w:r w:rsidR="00D6532B">
              <w:rPr>
                <w:sz w:val="20"/>
              </w:rPr>
              <w:t>909.43</w:t>
            </w:r>
          </w:p>
        </w:tc>
      </w:tr>
      <w:tr w:rsidR="007D69AC" w14:paraId="626A1AF0" w14:textId="77777777">
        <w:trPr>
          <w:trHeight w:val="265"/>
        </w:trPr>
        <w:tc>
          <w:tcPr>
            <w:tcW w:w="2204" w:type="dxa"/>
          </w:tcPr>
          <w:p w14:paraId="3D8D3A08" w14:textId="77777777" w:rsidR="007D69AC" w:rsidRDefault="00CA29E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Gross Pay</w:t>
            </w:r>
          </w:p>
        </w:tc>
        <w:tc>
          <w:tcPr>
            <w:tcW w:w="1202" w:type="dxa"/>
          </w:tcPr>
          <w:p w14:paraId="6DF81C7F" w14:textId="6D38B6A0" w:rsidR="007D69AC" w:rsidRDefault="001371AC" w:rsidP="001371A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A29EF">
              <w:rPr>
                <w:b/>
                <w:sz w:val="20"/>
              </w:rPr>
              <w:t>$</w:t>
            </w:r>
            <w:r>
              <w:rPr>
                <w:b/>
                <w:sz w:val="20"/>
              </w:rPr>
              <w:t xml:space="preserve"> </w:t>
            </w:r>
            <w:r w:rsidR="00D6532B">
              <w:rPr>
                <w:b/>
                <w:sz w:val="20"/>
              </w:rPr>
              <w:t>4,302.36</w:t>
            </w:r>
          </w:p>
        </w:tc>
      </w:tr>
      <w:tr w:rsidR="007D69AC" w14:paraId="42D5B444" w14:textId="77777777">
        <w:trPr>
          <w:trHeight w:val="745"/>
        </w:trPr>
        <w:tc>
          <w:tcPr>
            <w:tcW w:w="2204" w:type="dxa"/>
          </w:tcPr>
          <w:p w14:paraId="1B984B1F" w14:textId="77777777" w:rsidR="007D69AC" w:rsidRDefault="00CA29EF">
            <w:pPr>
              <w:pStyle w:val="TableParagraph"/>
              <w:spacing w:before="42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Hourly</w:t>
            </w:r>
          </w:p>
          <w:p w14:paraId="3C86A740" w14:textId="77777777" w:rsidR="007D69AC" w:rsidRDefault="00CA29EF">
            <w:pPr>
              <w:pStyle w:val="TableParagraph"/>
              <w:spacing w:line="23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40 hours/week, 52 weeks/year</w:t>
            </w:r>
          </w:p>
        </w:tc>
        <w:tc>
          <w:tcPr>
            <w:tcW w:w="1202" w:type="dxa"/>
            <w:tcBorders>
              <w:right w:val="nil"/>
            </w:tcBorders>
          </w:tcPr>
          <w:p w14:paraId="14CB0491" w14:textId="77777777" w:rsidR="007D69AC" w:rsidRDefault="007D69AC">
            <w:pPr>
              <w:pStyle w:val="TableParagraph"/>
              <w:ind w:left="0"/>
              <w:rPr>
                <w:rFonts w:ascii="Arial"/>
                <w:b/>
                <w:sz w:val="38"/>
              </w:rPr>
            </w:pPr>
          </w:p>
          <w:p w14:paraId="4B7AD8A3" w14:textId="3E91DD95" w:rsidR="007D69AC" w:rsidRDefault="001371AC" w:rsidP="001371A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CA29EF">
              <w:rPr>
                <w:b/>
                <w:sz w:val="24"/>
              </w:rPr>
              <w:t>$</w:t>
            </w:r>
            <w:r w:rsidR="00D6532B">
              <w:rPr>
                <w:b/>
                <w:sz w:val="24"/>
              </w:rPr>
              <w:t>24.82</w:t>
            </w:r>
          </w:p>
        </w:tc>
      </w:tr>
      <w:bookmarkEnd w:id="0"/>
    </w:tbl>
    <w:p w14:paraId="1B716062" w14:textId="77777777" w:rsidR="007D69AC" w:rsidRDefault="007D69AC">
      <w:pPr>
        <w:rPr>
          <w:sz w:val="24"/>
        </w:rPr>
        <w:sectPr w:rsidR="007D69AC" w:rsidSect="000260B9">
          <w:type w:val="continuous"/>
          <w:pgSz w:w="12240" w:h="15840"/>
          <w:pgMar w:top="660" w:right="680" w:bottom="280" w:left="620" w:header="720" w:footer="720" w:gutter="0"/>
          <w:cols w:num="2" w:space="720" w:equalWidth="0">
            <w:col w:w="6439" w:space="407"/>
            <w:col w:w="4094"/>
          </w:cols>
        </w:sectPr>
      </w:pPr>
    </w:p>
    <w:p w14:paraId="678B549C" w14:textId="77777777" w:rsidR="007D69AC" w:rsidRDefault="007D69AC">
      <w:pPr>
        <w:pStyle w:val="BodyText"/>
        <w:spacing w:before="3"/>
        <w:rPr>
          <w:rFonts w:ascii="Arial"/>
          <w:b/>
          <w:sz w:val="16"/>
        </w:rPr>
      </w:pPr>
    </w:p>
    <w:p w14:paraId="203C9C61" w14:textId="77777777" w:rsidR="00455BC1" w:rsidRDefault="00455BC1" w:rsidP="00A72663">
      <w:pPr>
        <w:pStyle w:val="Heading1"/>
        <w:spacing w:before="90"/>
        <w:ind w:left="0"/>
        <w:sectPr w:rsidR="00455BC1" w:rsidSect="000260B9">
          <w:type w:val="continuous"/>
          <w:pgSz w:w="12240" w:h="15840"/>
          <w:pgMar w:top="660" w:right="680" w:bottom="280" w:left="620" w:header="720" w:footer="720" w:gutter="0"/>
          <w:cols w:space="720"/>
        </w:sectPr>
      </w:pPr>
    </w:p>
    <w:p w14:paraId="6739C9AC" w14:textId="40A349F6" w:rsidR="007D69AC" w:rsidRPr="00A72663" w:rsidRDefault="00CA29EF" w:rsidP="00A72663">
      <w:pPr>
        <w:pStyle w:val="Heading1"/>
        <w:spacing w:before="90"/>
        <w:ind w:left="0"/>
        <w:jc w:val="both"/>
        <w:rPr>
          <w:sz w:val="28"/>
          <w:szCs w:val="28"/>
        </w:rPr>
      </w:pPr>
      <w:r w:rsidRPr="00A72663">
        <w:rPr>
          <w:sz w:val="28"/>
          <w:szCs w:val="28"/>
        </w:rPr>
        <w:lastRenderedPageBreak/>
        <w:t>Any employer that pays all employees at least a living wage can receive Certified Living Wage Employer status. The criteria for certification are:</w:t>
      </w:r>
    </w:p>
    <w:p w14:paraId="2EFAC5FE" w14:textId="77777777" w:rsidR="007D69AC" w:rsidRPr="00A72663" w:rsidRDefault="007D69AC" w:rsidP="00455BC1">
      <w:pPr>
        <w:pStyle w:val="BodyText"/>
        <w:spacing w:before="11"/>
        <w:jc w:val="both"/>
        <w:rPr>
          <w:b/>
          <w:sz w:val="28"/>
          <w:szCs w:val="28"/>
        </w:rPr>
      </w:pPr>
    </w:p>
    <w:p w14:paraId="658A7A70" w14:textId="77777777" w:rsidR="007D69AC" w:rsidRPr="00A72663" w:rsidRDefault="00CA29EF" w:rsidP="00455BC1">
      <w:pPr>
        <w:pStyle w:val="ListParagraph"/>
        <w:numPr>
          <w:ilvl w:val="0"/>
          <w:numId w:val="1"/>
        </w:numPr>
        <w:tabs>
          <w:tab w:val="left" w:pos="342"/>
        </w:tabs>
        <w:spacing w:after="160"/>
        <w:jc w:val="both"/>
        <w:rPr>
          <w:sz w:val="28"/>
          <w:szCs w:val="28"/>
        </w:rPr>
      </w:pPr>
      <w:r w:rsidRPr="00A72663">
        <w:rPr>
          <w:sz w:val="28"/>
          <w:szCs w:val="28"/>
        </w:rPr>
        <w:t>The employer must endorse the living wage</w:t>
      </w:r>
      <w:r w:rsidRPr="00A72663">
        <w:rPr>
          <w:spacing w:val="3"/>
          <w:sz w:val="28"/>
          <w:szCs w:val="28"/>
        </w:rPr>
        <w:t xml:space="preserve"> </w:t>
      </w:r>
      <w:r w:rsidRPr="00A72663">
        <w:rPr>
          <w:sz w:val="28"/>
          <w:szCs w:val="28"/>
        </w:rPr>
        <w:t>concept.</w:t>
      </w:r>
    </w:p>
    <w:p w14:paraId="0C87FA60" w14:textId="40E72249" w:rsidR="007D69AC" w:rsidRPr="00A72663" w:rsidRDefault="00CA29EF" w:rsidP="00455BC1">
      <w:pPr>
        <w:pStyle w:val="ListParagraph"/>
        <w:numPr>
          <w:ilvl w:val="0"/>
          <w:numId w:val="1"/>
        </w:numPr>
        <w:tabs>
          <w:tab w:val="left" w:pos="342"/>
        </w:tabs>
        <w:spacing w:before="180" w:after="160"/>
        <w:jc w:val="both"/>
        <w:rPr>
          <w:sz w:val="28"/>
          <w:szCs w:val="28"/>
        </w:rPr>
      </w:pPr>
      <w:r w:rsidRPr="00A72663">
        <w:rPr>
          <w:sz w:val="28"/>
          <w:szCs w:val="28"/>
        </w:rPr>
        <w:t xml:space="preserve">The employer must pay </w:t>
      </w:r>
      <w:r w:rsidRPr="00494A01">
        <w:rPr>
          <w:sz w:val="28"/>
          <w:szCs w:val="28"/>
        </w:rPr>
        <w:t>$</w:t>
      </w:r>
      <w:r w:rsidR="00D6532B">
        <w:rPr>
          <w:sz w:val="28"/>
          <w:szCs w:val="28"/>
        </w:rPr>
        <w:t>24.82</w:t>
      </w:r>
      <w:r w:rsidRPr="00494A01">
        <w:rPr>
          <w:sz w:val="28"/>
          <w:szCs w:val="28"/>
        </w:rPr>
        <w:t>/</w:t>
      </w:r>
      <w:r w:rsidRPr="00A72663">
        <w:rPr>
          <w:sz w:val="28"/>
          <w:szCs w:val="28"/>
        </w:rPr>
        <w:t>hour to all regular full and part-time employees,</w:t>
      </w:r>
      <w:r w:rsidRPr="00A72663">
        <w:rPr>
          <w:spacing w:val="2"/>
          <w:sz w:val="28"/>
          <w:szCs w:val="28"/>
        </w:rPr>
        <w:t xml:space="preserve"> </w:t>
      </w:r>
      <w:r w:rsidRPr="00A72663">
        <w:rPr>
          <w:sz w:val="28"/>
          <w:szCs w:val="28"/>
        </w:rPr>
        <w:t>excepting:</w:t>
      </w:r>
    </w:p>
    <w:p w14:paraId="02CEED24" w14:textId="6D767D98" w:rsidR="00AE200B" w:rsidRPr="00A72663" w:rsidRDefault="00CA29EF" w:rsidP="00665BA3">
      <w:pPr>
        <w:pStyle w:val="BodyText"/>
        <w:spacing w:before="180" w:after="160"/>
        <w:ind w:left="720" w:right="90" w:hanging="360"/>
        <w:jc w:val="both"/>
        <w:rPr>
          <w:sz w:val="28"/>
          <w:szCs w:val="28"/>
        </w:rPr>
      </w:pPr>
      <w:bookmarkStart w:id="1" w:name="_Hlk95911620"/>
      <w:r w:rsidRPr="00A72663">
        <w:rPr>
          <w:sz w:val="28"/>
          <w:szCs w:val="28"/>
        </w:rPr>
        <w:t>2a. An employer may pay a wage that is less than the living wage to youth employed during the summer; to part-time employees who are under 18 years old; to employees who are in a probationary status of no more than 3 months; to employees who are hired on a temporary basis of 3 months or less; or to workers paid by other</w:t>
      </w:r>
      <w:bookmarkEnd w:id="1"/>
      <w:r w:rsidR="00AE200B" w:rsidRPr="00A72663">
        <w:rPr>
          <w:sz w:val="28"/>
          <w:szCs w:val="28"/>
        </w:rPr>
        <w:t>s.</w:t>
      </w:r>
    </w:p>
    <w:p w14:paraId="16CB2AA5" w14:textId="797A32DF" w:rsidR="00455BC1" w:rsidRPr="00A72663" w:rsidRDefault="00AE200B" w:rsidP="00665BA3">
      <w:pPr>
        <w:pStyle w:val="BodyText"/>
        <w:spacing w:before="180" w:after="160"/>
        <w:ind w:left="720" w:right="90" w:hanging="360"/>
        <w:jc w:val="both"/>
        <w:rPr>
          <w:color w:val="212121"/>
          <w:sz w:val="28"/>
          <w:szCs w:val="28"/>
        </w:rPr>
      </w:pPr>
      <w:r w:rsidRPr="00A72663">
        <w:rPr>
          <w:color w:val="212121"/>
          <w:sz w:val="28"/>
          <w:szCs w:val="28"/>
        </w:rPr>
        <w:t xml:space="preserve">2b. An </w:t>
      </w:r>
      <w:r w:rsidRPr="00A72663">
        <w:rPr>
          <w:sz w:val="28"/>
          <w:szCs w:val="28"/>
        </w:rPr>
        <w:t>employer</w:t>
      </w:r>
      <w:r w:rsidRPr="00A72663">
        <w:rPr>
          <w:color w:val="212121"/>
          <w:sz w:val="28"/>
          <w:szCs w:val="28"/>
        </w:rPr>
        <w:t xml:space="preserve"> with employees eligible for tips must commit to pay additional direct wages whenever an employee's direct wage plus tips </w:t>
      </w:r>
      <w:proofErr w:type="gramStart"/>
      <w:r w:rsidRPr="00A72663">
        <w:rPr>
          <w:color w:val="212121"/>
          <w:sz w:val="28"/>
          <w:szCs w:val="28"/>
        </w:rPr>
        <w:t>provide</w:t>
      </w:r>
      <w:proofErr w:type="gramEnd"/>
      <w:r w:rsidRPr="00A72663">
        <w:rPr>
          <w:color w:val="212121"/>
          <w:sz w:val="28"/>
          <w:szCs w:val="28"/>
        </w:rPr>
        <w:t xml:space="preserve"> earnings less than </w:t>
      </w:r>
      <w:r w:rsidRPr="00494A01">
        <w:rPr>
          <w:color w:val="212121"/>
          <w:sz w:val="28"/>
          <w:szCs w:val="28"/>
        </w:rPr>
        <w:t>$</w:t>
      </w:r>
      <w:r w:rsidR="00D6532B">
        <w:rPr>
          <w:color w:val="212121"/>
          <w:sz w:val="28"/>
          <w:szCs w:val="28"/>
        </w:rPr>
        <w:t>24.82</w:t>
      </w:r>
      <w:r w:rsidRPr="00A72663">
        <w:rPr>
          <w:color w:val="212121"/>
          <w:sz w:val="28"/>
          <w:szCs w:val="28"/>
        </w:rPr>
        <w:t xml:space="preserve"> per hour.</w:t>
      </w:r>
    </w:p>
    <w:p w14:paraId="72BAAE5A" w14:textId="4D16C380" w:rsidR="00455BC1" w:rsidRPr="00A72663" w:rsidRDefault="00AE200B" w:rsidP="00455BC1">
      <w:pPr>
        <w:pStyle w:val="ListParagraph"/>
        <w:numPr>
          <w:ilvl w:val="0"/>
          <w:numId w:val="1"/>
        </w:numPr>
        <w:tabs>
          <w:tab w:val="left" w:pos="342"/>
        </w:tabs>
        <w:spacing w:after="160"/>
        <w:jc w:val="both"/>
        <w:rPr>
          <w:color w:val="212121"/>
          <w:sz w:val="28"/>
          <w:szCs w:val="28"/>
        </w:rPr>
      </w:pPr>
      <w:r w:rsidRPr="00A72663">
        <w:rPr>
          <w:sz w:val="28"/>
          <w:szCs w:val="28"/>
        </w:rPr>
        <w:t xml:space="preserve">The employer must pay </w:t>
      </w:r>
      <w:r w:rsidRPr="00494A01">
        <w:rPr>
          <w:sz w:val="28"/>
          <w:szCs w:val="28"/>
        </w:rPr>
        <w:t>$</w:t>
      </w:r>
      <w:r w:rsidR="004C1AD7" w:rsidRPr="00494A01">
        <w:rPr>
          <w:sz w:val="28"/>
          <w:szCs w:val="28"/>
        </w:rPr>
        <w:t>2</w:t>
      </w:r>
      <w:r w:rsidR="00D6532B">
        <w:rPr>
          <w:sz w:val="28"/>
          <w:szCs w:val="28"/>
        </w:rPr>
        <w:t>6.82</w:t>
      </w:r>
      <w:r w:rsidRPr="00A72663">
        <w:rPr>
          <w:sz w:val="28"/>
          <w:szCs w:val="28"/>
        </w:rPr>
        <w:t xml:space="preserve">/hour to all independent contractors to whom you pay an hourly rate (typically an independent contractor would receive a 1099 form from you). The additional wage requirement beyond </w:t>
      </w:r>
      <w:r w:rsidR="004C1AD7" w:rsidRPr="00494A01">
        <w:rPr>
          <w:sz w:val="28"/>
          <w:szCs w:val="28"/>
        </w:rPr>
        <w:t>$2</w:t>
      </w:r>
      <w:r w:rsidR="00D6532B">
        <w:rPr>
          <w:sz w:val="28"/>
          <w:szCs w:val="28"/>
        </w:rPr>
        <w:t>6.82</w:t>
      </w:r>
      <w:r w:rsidRPr="00A72663">
        <w:rPr>
          <w:sz w:val="28"/>
          <w:szCs w:val="28"/>
        </w:rPr>
        <w:t xml:space="preserve"> is meant to cover their individual tax requirements and insurances.</w:t>
      </w:r>
    </w:p>
    <w:p w14:paraId="6A0CE5D2" w14:textId="77777777" w:rsidR="00455BC1" w:rsidRPr="00A72663" w:rsidRDefault="00AE200B" w:rsidP="00455BC1">
      <w:pPr>
        <w:pStyle w:val="ListParagraph"/>
        <w:numPr>
          <w:ilvl w:val="0"/>
          <w:numId w:val="1"/>
        </w:numPr>
        <w:tabs>
          <w:tab w:val="left" w:pos="342"/>
        </w:tabs>
        <w:spacing w:after="160"/>
        <w:jc w:val="both"/>
        <w:rPr>
          <w:color w:val="212121"/>
          <w:sz w:val="28"/>
          <w:szCs w:val="28"/>
        </w:rPr>
      </w:pPr>
      <w:r w:rsidRPr="00A72663">
        <w:rPr>
          <w:sz w:val="28"/>
          <w:szCs w:val="28"/>
        </w:rPr>
        <w:t>An employer may be rejected for certification, or have certification revoked, if there are known health</w:t>
      </w:r>
      <w:r w:rsidRPr="00A72663">
        <w:rPr>
          <w:spacing w:val="-30"/>
          <w:sz w:val="28"/>
          <w:szCs w:val="28"/>
        </w:rPr>
        <w:t xml:space="preserve"> </w:t>
      </w:r>
      <w:r w:rsidRPr="00A72663">
        <w:rPr>
          <w:sz w:val="28"/>
          <w:szCs w:val="28"/>
        </w:rPr>
        <w:t>and safety violations, or other violations of labor standards (including wage &amp; hour violations/wage theft, whistleblower retaliation, or violations of union rights), at the discretion of the Tompkins County Workers’ Center</w:t>
      </w:r>
      <w:r w:rsidR="00455BC1" w:rsidRPr="00A72663">
        <w:rPr>
          <w:sz w:val="28"/>
          <w:szCs w:val="28"/>
        </w:rPr>
        <w:t xml:space="preserve"> </w:t>
      </w:r>
      <w:r w:rsidRPr="00A72663">
        <w:rPr>
          <w:sz w:val="28"/>
          <w:szCs w:val="28"/>
        </w:rPr>
        <w:t>Leadership</w:t>
      </w:r>
      <w:r w:rsidRPr="00A72663">
        <w:rPr>
          <w:spacing w:val="1"/>
          <w:sz w:val="28"/>
          <w:szCs w:val="28"/>
        </w:rPr>
        <w:t xml:space="preserve"> </w:t>
      </w:r>
      <w:r w:rsidRPr="00A72663">
        <w:rPr>
          <w:sz w:val="28"/>
          <w:szCs w:val="28"/>
        </w:rPr>
        <w:t>Team</w:t>
      </w:r>
      <w:r w:rsidR="00455BC1" w:rsidRPr="00A72663">
        <w:rPr>
          <w:sz w:val="28"/>
          <w:szCs w:val="28"/>
        </w:rPr>
        <w:t>.</w:t>
      </w:r>
    </w:p>
    <w:p w14:paraId="24EDAC24" w14:textId="2AC1BBE4" w:rsidR="007D69AC" w:rsidRPr="00693181" w:rsidRDefault="00693181" w:rsidP="00693181">
      <w:pPr>
        <w:pStyle w:val="ListParagraph"/>
        <w:tabs>
          <w:tab w:val="left" w:pos="342"/>
        </w:tabs>
        <w:spacing w:after="160"/>
        <w:ind w:left="144" w:firstLine="0"/>
        <w:jc w:val="both"/>
        <w:rPr>
          <w:strike/>
          <w:color w:val="212121"/>
          <w:sz w:val="28"/>
          <w:szCs w:val="28"/>
          <w:highlight w:val="yellow"/>
        </w:rPr>
      </w:pPr>
      <w:r>
        <w:rPr>
          <w:sz w:val="28"/>
          <w:szCs w:val="28"/>
        </w:rPr>
        <w:t xml:space="preserve">5. </w:t>
      </w:r>
      <w:r w:rsidR="00CA29EF" w:rsidRPr="00A72663">
        <w:rPr>
          <w:sz w:val="28"/>
          <w:szCs w:val="28"/>
        </w:rPr>
        <w:t xml:space="preserve">Certification </w:t>
      </w:r>
      <w:r w:rsidR="00494A01">
        <w:rPr>
          <w:sz w:val="28"/>
          <w:szCs w:val="28"/>
        </w:rPr>
        <w:t>remains effective until the following year, when the living wage is recalculated.</w:t>
      </w:r>
      <w:r w:rsidR="00CA29EF" w:rsidRPr="00494A01">
        <w:rPr>
          <w:sz w:val="28"/>
          <w:szCs w:val="28"/>
        </w:rPr>
        <w:t xml:space="preserve"> </w:t>
      </w:r>
    </w:p>
    <w:p w14:paraId="6D7D7EFE" w14:textId="71637D63" w:rsidR="007D69AC" w:rsidRPr="00A72663" w:rsidRDefault="00CA29EF" w:rsidP="00455BC1">
      <w:pPr>
        <w:pStyle w:val="BodyText"/>
        <w:spacing w:before="1" w:after="240"/>
        <w:ind w:left="102"/>
        <w:jc w:val="both"/>
        <w:rPr>
          <w:sz w:val="28"/>
          <w:szCs w:val="28"/>
        </w:rPr>
      </w:pPr>
      <w:r w:rsidRPr="00A72663">
        <w:rPr>
          <w:sz w:val="28"/>
          <w:szCs w:val="28"/>
        </w:rPr>
        <w:t>First-time Certified Living Wage Employer applications are reviewed</w:t>
      </w:r>
      <w:r w:rsidR="00AF72F5">
        <w:rPr>
          <w:sz w:val="28"/>
          <w:szCs w:val="28"/>
        </w:rPr>
        <w:t>, and certified by a vote,</w:t>
      </w:r>
      <w:r w:rsidRPr="00A72663">
        <w:rPr>
          <w:sz w:val="28"/>
          <w:szCs w:val="28"/>
        </w:rPr>
        <w:t xml:space="preserve"> by the Living Wage </w:t>
      </w:r>
      <w:r w:rsidR="00AF72F5">
        <w:rPr>
          <w:sz w:val="28"/>
          <w:szCs w:val="28"/>
        </w:rPr>
        <w:t xml:space="preserve">Employer </w:t>
      </w:r>
      <w:r w:rsidRPr="00A72663">
        <w:rPr>
          <w:sz w:val="28"/>
          <w:szCs w:val="28"/>
        </w:rPr>
        <w:t>Task Force</w:t>
      </w:r>
      <w:r w:rsidR="00AF72F5">
        <w:rPr>
          <w:sz w:val="28"/>
          <w:szCs w:val="28"/>
        </w:rPr>
        <w:t xml:space="preserve">, </w:t>
      </w:r>
      <w:r w:rsidRPr="00A72663">
        <w:rPr>
          <w:sz w:val="28"/>
          <w:szCs w:val="28"/>
        </w:rPr>
        <w:t>which includes businesspeople, non-profit representatives, and community members.</w:t>
      </w:r>
    </w:p>
    <w:p w14:paraId="2FBF61E6" w14:textId="1B375207" w:rsidR="007D69AC" w:rsidRPr="00A72663" w:rsidRDefault="00CA29EF" w:rsidP="00455BC1">
      <w:pPr>
        <w:pStyle w:val="BodyText"/>
        <w:spacing w:before="180" w:after="240"/>
        <w:ind w:left="102"/>
        <w:jc w:val="both"/>
        <w:rPr>
          <w:rStyle w:val="Hyperlink"/>
          <w:sz w:val="28"/>
          <w:szCs w:val="28"/>
        </w:rPr>
      </w:pPr>
      <w:r w:rsidRPr="00A72663">
        <w:rPr>
          <w:sz w:val="28"/>
          <w:szCs w:val="28"/>
        </w:rPr>
        <w:t xml:space="preserve">Applications or questions about living wage certification may be sent to </w:t>
      </w:r>
      <w:r w:rsidR="002B1D04" w:rsidRPr="00A72663">
        <w:rPr>
          <w:sz w:val="28"/>
          <w:szCs w:val="28"/>
        </w:rPr>
        <w:t>Pete Meyers</w:t>
      </w:r>
      <w:r w:rsidRPr="00A72663">
        <w:rPr>
          <w:sz w:val="28"/>
          <w:szCs w:val="28"/>
        </w:rPr>
        <w:t>, T</w:t>
      </w:r>
      <w:r w:rsidR="00494A01">
        <w:rPr>
          <w:sz w:val="28"/>
          <w:szCs w:val="28"/>
        </w:rPr>
        <w:t>ompkins County</w:t>
      </w:r>
      <w:r w:rsidRPr="00A72663">
        <w:rPr>
          <w:sz w:val="28"/>
          <w:szCs w:val="28"/>
        </w:rPr>
        <w:t xml:space="preserve"> Workers’ Center, 1</w:t>
      </w:r>
      <w:r w:rsidR="00494A01">
        <w:rPr>
          <w:sz w:val="28"/>
          <w:szCs w:val="28"/>
        </w:rPr>
        <w:t xml:space="preserve">03 W. Seneca </w:t>
      </w:r>
      <w:r w:rsidRPr="00A72663">
        <w:rPr>
          <w:sz w:val="28"/>
          <w:szCs w:val="28"/>
        </w:rPr>
        <w:t xml:space="preserve">Street, </w:t>
      </w:r>
      <w:r w:rsidR="00494A01">
        <w:rPr>
          <w:sz w:val="28"/>
          <w:szCs w:val="28"/>
        </w:rPr>
        <w:t xml:space="preserve">Suite 301B, </w:t>
      </w:r>
      <w:r w:rsidRPr="00A72663">
        <w:rPr>
          <w:sz w:val="28"/>
          <w:szCs w:val="28"/>
        </w:rPr>
        <w:t>Ithaca, N</w:t>
      </w:r>
      <w:r w:rsidR="002B1D04" w:rsidRPr="00A72663">
        <w:rPr>
          <w:sz w:val="28"/>
          <w:szCs w:val="28"/>
        </w:rPr>
        <w:t>Y14850</w:t>
      </w:r>
      <w:r w:rsidR="00455BC1" w:rsidRPr="00A72663">
        <w:rPr>
          <w:sz w:val="28"/>
          <w:szCs w:val="28"/>
        </w:rPr>
        <w:t xml:space="preserve"> </w:t>
      </w:r>
      <w:r w:rsidR="00AE200B" w:rsidRPr="00A72663">
        <w:rPr>
          <w:sz w:val="28"/>
          <w:szCs w:val="28"/>
        </w:rPr>
        <w:t>/</w:t>
      </w:r>
      <w:r w:rsidR="002B1D04" w:rsidRPr="00A72663">
        <w:rPr>
          <w:sz w:val="28"/>
          <w:szCs w:val="28"/>
        </w:rPr>
        <w:t xml:space="preserve"> 607-269-0409</w:t>
      </w:r>
      <w:r w:rsidR="00455BC1" w:rsidRPr="00A72663">
        <w:rPr>
          <w:sz w:val="28"/>
          <w:szCs w:val="28"/>
        </w:rPr>
        <w:t xml:space="preserve"> </w:t>
      </w:r>
      <w:r w:rsidR="00494A01">
        <w:rPr>
          <w:sz w:val="28"/>
          <w:szCs w:val="28"/>
        </w:rPr>
        <w:t>or 607-339-1680</w:t>
      </w:r>
      <w:r w:rsidR="00455BC1" w:rsidRPr="00A72663">
        <w:rPr>
          <w:sz w:val="28"/>
          <w:szCs w:val="28"/>
        </w:rPr>
        <w:t xml:space="preserve">/ </w:t>
      </w:r>
      <w:hyperlink r:id="rId7" w:history="1">
        <w:r w:rsidR="00A72663" w:rsidRPr="00A72663">
          <w:rPr>
            <w:rStyle w:val="Hyperlink"/>
            <w:sz w:val="28"/>
            <w:szCs w:val="28"/>
          </w:rPr>
          <w:t>pete@tcworkerscenter.org</w:t>
        </w:r>
      </w:hyperlink>
    </w:p>
    <w:p w14:paraId="4761D094" w14:textId="7E5E5B6F" w:rsidR="007D69AC" w:rsidRPr="00A72663" w:rsidRDefault="00A72663" w:rsidP="00A72663">
      <w:pPr>
        <w:pStyle w:val="BodyText"/>
        <w:spacing w:before="180" w:after="240"/>
        <w:ind w:left="102"/>
        <w:jc w:val="center"/>
        <w:rPr>
          <w:sz w:val="28"/>
          <w:szCs w:val="28"/>
        </w:rPr>
      </w:pPr>
      <w:hyperlink r:id="rId8" w:history="1">
        <w:r w:rsidRPr="00A72663">
          <w:rPr>
            <w:rStyle w:val="Hyperlink"/>
            <w:sz w:val="28"/>
            <w:szCs w:val="28"/>
          </w:rPr>
          <w:t>https://www.tcworkerscenter.org/campaigns/living-wage-certification/</w:t>
        </w:r>
      </w:hyperlink>
    </w:p>
    <w:sectPr w:rsidR="007D69AC" w:rsidRPr="00A72663">
      <w:pgSz w:w="12240" w:h="15840"/>
      <w:pgMar w:top="88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7177F"/>
    <w:multiLevelType w:val="hybridMultilevel"/>
    <w:tmpl w:val="2B8E5990"/>
    <w:lvl w:ilvl="0" w:tplc="7C0ECA4A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0FBABD00">
      <w:numFmt w:val="bullet"/>
      <w:lvlText w:val="•"/>
      <w:lvlJc w:val="left"/>
      <w:pPr>
        <w:ind w:left="1400" w:hanging="240"/>
      </w:pPr>
      <w:rPr>
        <w:rFonts w:hint="default"/>
        <w:lang w:val="en-US" w:eastAsia="en-US" w:bidi="en-US"/>
      </w:rPr>
    </w:lvl>
    <w:lvl w:ilvl="2" w:tplc="3A0EBF2C">
      <w:numFmt w:val="bullet"/>
      <w:lvlText w:val="•"/>
      <w:lvlJc w:val="left"/>
      <w:pPr>
        <w:ind w:left="2460" w:hanging="240"/>
      </w:pPr>
      <w:rPr>
        <w:rFonts w:hint="default"/>
        <w:lang w:val="en-US" w:eastAsia="en-US" w:bidi="en-US"/>
      </w:rPr>
    </w:lvl>
    <w:lvl w:ilvl="3" w:tplc="7AD01BAA">
      <w:numFmt w:val="bullet"/>
      <w:lvlText w:val="•"/>
      <w:lvlJc w:val="left"/>
      <w:pPr>
        <w:ind w:left="3520" w:hanging="240"/>
      </w:pPr>
      <w:rPr>
        <w:rFonts w:hint="default"/>
        <w:lang w:val="en-US" w:eastAsia="en-US" w:bidi="en-US"/>
      </w:rPr>
    </w:lvl>
    <w:lvl w:ilvl="4" w:tplc="964A3EE8">
      <w:numFmt w:val="bullet"/>
      <w:lvlText w:val="•"/>
      <w:lvlJc w:val="left"/>
      <w:pPr>
        <w:ind w:left="4580" w:hanging="240"/>
      </w:pPr>
      <w:rPr>
        <w:rFonts w:hint="default"/>
        <w:lang w:val="en-US" w:eastAsia="en-US" w:bidi="en-US"/>
      </w:rPr>
    </w:lvl>
    <w:lvl w:ilvl="5" w:tplc="B98A968C">
      <w:numFmt w:val="bullet"/>
      <w:lvlText w:val="•"/>
      <w:lvlJc w:val="left"/>
      <w:pPr>
        <w:ind w:left="5640" w:hanging="240"/>
      </w:pPr>
      <w:rPr>
        <w:rFonts w:hint="default"/>
        <w:lang w:val="en-US" w:eastAsia="en-US" w:bidi="en-US"/>
      </w:rPr>
    </w:lvl>
    <w:lvl w:ilvl="6" w:tplc="081C9E54">
      <w:numFmt w:val="bullet"/>
      <w:lvlText w:val="•"/>
      <w:lvlJc w:val="left"/>
      <w:pPr>
        <w:ind w:left="6700" w:hanging="240"/>
      </w:pPr>
      <w:rPr>
        <w:rFonts w:hint="default"/>
        <w:lang w:val="en-US" w:eastAsia="en-US" w:bidi="en-US"/>
      </w:rPr>
    </w:lvl>
    <w:lvl w:ilvl="7" w:tplc="81340840">
      <w:numFmt w:val="bullet"/>
      <w:lvlText w:val="•"/>
      <w:lvlJc w:val="left"/>
      <w:pPr>
        <w:ind w:left="7760" w:hanging="240"/>
      </w:pPr>
      <w:rPr>
        <w:rFonts w:hint="default"/>
        <w:lang w:val="en-US" w:eastAsia="en-US" w:bidi="en-US"/>
      </w:rPr>
    </w:lvl>
    <w:lvl w:ilvl="8" w:tplc="BEF68206">
      <w:numFmt w:val="bullet"/>
      <w:lvlText w:val="•"/>
      <w:lvlJc w:val="left"/>
      <w:pPr>
        <w:ind w:left="8820" w:hanging="240"/>
      </w:pPr>
      <w:rPr>
        <w:rFonts w:hint="default"/>
        <w:lang w:val="en-US" w:eastAsia="en-US" w:bidi="en-US"/>
      </w:rPr>
    </w:lvl>
  </w:abstractNum>
  <w:num w:numId="1" w16cid:durableId="162518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AC"/>
    <w:rsid w:val="000260B9"/>
    <w:rsid w:val="00091F5D"/>
    <w:rsid w:val="000F12F5"/>
    <w:rsid w:val="00107996"/>
    <w:rsid w:val="001371AC"/>
    <w:rsid w:val="00224D31"/>
    <w:rsid w:val="002B1D04"/>
    <w:rsid w:val="00363EBA"/>
    <w:rsid w:val="003F3C1F"/>
    <w:rsid w:val="004257EB"/>
    <w:rsid w:val="00455BC1"/>
    <w:rsid w:val="00465FF9"/>
    <w:rsid w:val="00494A01"/>
    <w:rsid w:val="004B4B0D"/>
    <w:rsid w:val="004C1AD7"/>
    <w:rsid w:val="00554ADF"/>
    <w:rsid w:val="00606CFF"/>
    <w:rsid w:val="0062128A"/>
    <w:rsid w:val="00665BA3"/>
    <w:rsid w:val="00693181"/>
    <w:rsid w:val="006F0956"/>
    <w:rsid w:val="0071553B"/>
    <w:rsid w:val="00735D33"/>
    <w:rsid w:val="007D69AC"/>
    <w:rsid w:val="008F14B1"/>
    <w:rsid w:val="0096337C"/>
    <w:rsid w:val="009A38EF"/>
    <w:rsid w:val="00A526E6"/>
    <w:rsid w:val="00A72663"/>
    <w:rsid w:val="00AE200B"/>
    <w:rsid w:val="00AF72F5"/>
    <w:rsid w:val="00B9594E"/>
    <w:rsid w:val="00BF699F"/>
    <w:rsid w:val="00C06723"/>
    <w:rsid w:val="00CA29EF"/>
    <w:rsid w:val="00D6532B"/>
    <w:rsid w:val="00E11179"/>
    <w:rsid w:val="00E51735"/>
    <w:rsid w:val="00F41F92"/>
    <w:rsid w:val="00FB0C57"/>
    <w:rsid w:val="00F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7B46"/>
  <w15:docId w15:val="{B2A89DFF-FFAF-4019-863E-909CB767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" w:hanging="240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8"/>
    </w:pPr>
  </w:style>
  <w:style w:type="character" w:styleId="Hyperlink">
    <w:name w:val="Hyperlink"/>
    <w:basedOn w:val="DefaultParagraphFont"/>
    <w:uiPriority w:val="99"/>
    <w:unhideWhenUsed/>
    <w:rsid w:val="002B1D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D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5BC1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55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workerscenter.org/campaigns/living-wage-certifi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@tcworkerscen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workerscenter.org/campaigns/living-wage-certification/" TargetMode="External"/><Relationship Id="rId5" Type="http://schemas.openxmlformats.org/officeDocument/2006/relationships/hyperlink" Target="https://www.tcworkerscenter.org/wp-content/uploads/2025/02/Tompkins-County-Living-Wage-2025-Study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654</Words>
  <Characters>3609</Characters>
  <Application>Microsoft Office Word</Application>
  <DocSecurity>0</DocSecurity>
  <Lines>73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Living Wage Business Certification Proposal</vt:lpstr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Wage Business Certification Proposal</dc:title>
  <dc:creator>Pete</dc:creator>
  <cp:lastModifiedBy>Pete Meyers</cp:lastModifiedBy>
  <cp:revision>2</cp:revision>
  <cp:lastPrinted>2021-07-09T19:59:00Z</cp:lastPrinted>
  <dcterms:created xsi:type="dcterms:W3CDTF">2025-02-26T21:18:00Z</dcterms:created>
  <dcterms:modified xsi:type="dcterms:W3CDTF">2025-02-26T21:18:00Z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2021-07-09T00:00:00Z</vt:filetime>
  </property>
</Properties>
</file>